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F92" w:rsidRPr="00B16F92" w:rsidRDefault="00A14288" w:rsidP="005150BE">
      <w:pPr>
        <w:pStyle w:val="Overskrift1"/>
        <w:rPr>
          <w:lang w:val="en-US"/>
        </w:rPr>
      </w:pPr>
      <w:bookmarkStart w:id="0" w:name="_GoBack"/>
      <w:bookmarkEnd w:id="0"/>
      <w:r w:rsidRPr="00B16F92">
        <w:rPr>
          <w:lang w:val="en-US"/>
        </w:rPr>
        <w:t>Udkast til strategiplan for udvikling af lystbådehavne i de tre købstæder</w:t>
      </w:r>
    </w:p>
    <w:p w:rsidR="00B16F92" w:rsidRPr="00C059A5" w:rsidRDefault="00A14288" w:rsidP="00C059A5">
      <w:pPr>
        <w:pStyle w:val="Undertitel"/>
        <w:rPr>
          <w:lang w:val="en-US"/>
        </w:rPr>
      </w:pPr>
      <w:r w:rsidRPr="00C059A5">
        <w:rPr>
          <w:lang w:val="en-US"/>
        </w:rPr>
        <w:t>Sagsnr.:18/22553</w:t>
      </w:r>
      <w:r w:rsidR="00C059A5" w:rsidRPr="00C059A5">
        <w:rPr>
          <w:lang w:val="en-US"/>
        </w:rPr>
        <w:t xml:space="preserve"> - Område: Plan og By - Sagsbeh: </w:t>
      </w:r>
      <w:r w:rsidR="00A9664A" w:rsidRPr="00A9664A">
        <w:rPr>
          <w:lang w:val="en-US"/>
        </w:rPr>
        <w:t>anv</w:t>
      </w:r>
    </w:p>
    <w:p w:rsidR="007147E5" w:rsidRDefault="00A14288">
      <w:pPr>
        <w:pStyle w:val="Overskrift3"/>
      </w:pPr>
      <w:r>
        <w:t xml:space="preserve">Kompetenceudvalg: </w:t>
      </w:r>
      <w:bookmarkStart w:id="1" w:name="DocPart113555"/>
    </w:p>
    <w:p w:rsidR="007147E5" w:rsidRDefault="00A14288">
      <w:pPr>
        <w:pBdr>
          <w:top w:val="nil"/>
          <w:left w:val="nil"/>
          <w:bottom w:val="nil"/>
          <w:right w:val="nil"/>
          <w:between w:val="nil"/>
          <w:bar w:val="nil"/>
        </w:pBdr>
      </w:pPr>
      <w:r>
        <w:t>Udvalget for Bosætning, Økonomi og Nærdemokrati.</w:t>
      </w:r>
    </w:p>
    <w:bookmarkEnd w:id="1"/>
    <w:p w:rsidR="007147E5" w:rsidRDefault="00A14288">
      <w:pPr>
        <w:pStyle w:val="Overskrift3"/>
      </w:pPr>
      <w:r>
        <w:t xml:space="preserve">Lovgrundlag: </w:t>
      </w:r>
      <w:bookmarkStart w:id="2" w:name="DocPart113556"/>
    </w:p>
    <w:p w:rsidR="007147E5" w:rsidRDefault="00A14288">
      <w:pPr>
        <w:pBdr>
          <w:top w:val="nil"/>
          <w:left w:val="nil"/>
          <w:bottom w:val="nil"/>
          <w:right w:val="nil"/>
          <w:between w:val="nil"/>
          <w:bar w:val="nil"/>
        </w:pBdr>
      </w:pPr>
      <w:r>
        <w:t>Planloven.</w:t>
      </w:r>
    </w:p>
    <w:bookmarkEnd w:id="2"/>
    <w:p w:rsidR="007147E5" w:rsidRDefault="00A14288">
      <w:pPr>
        <w:pStyle w:val="Overskrift3"/>
      </w:pPr>
      <w:r>
        <w:t xml:space="preserve">Sagsfremstilling: </w:t>
      </w:r>
      <w:bookmarkStart w:id="3" w:name="DocPart113557"/>
    </w:p>
    <w:p w:rsidR="007147E5" w:rsidRDefault="00A14288">
      <w:pPr>
        <w:pBdr>
          <w:top w:val="nil"/>
          <w:left w:val="nil"/>
          <w:bottom w:val="nil"/>
          <w:right w:val="nil"/>
          <w:between w:val="nil"/>
          <w:bar w:val="nil"/>
        </w:pBdr>
      </w:pPr>
      <w:r>
        <w:t xml:space="preserve">Gennem de senere år er der blevet arbejdet med idéer til udvikling af Præstø havn og strand i form af projektet ”Vandsportens by” til gavn for alle havnens brugere og borgere og turister. I 2017 afsatte kommunalbestyrelsen 500.000 kr. til udvikling af en helhedsplan for området omkring Stege kystkyst, der skal samtænke de mange idéer og tiltag, der også her arbejdes med fx omkring Sukkerfabrikken, Jordbassinerne og Stege Badeanstalt. Og endelig er der også lokale kræfter i Nordhavnen i Vordingborg, der går med tanker om udvikling af fx sejlklubben, tribune, promenade mv. </w:t>
      </w:r>
    </w:p>
    <w:p w:rsidR="007147E5" w:rsidRDefault="007147E5">
      <w:pPr>
        <w:pBdr>
          <w:top w:val="nil"/>
          <w:left w:val="nil"/>
          <w:bottom w:val="nil"/>
          <w:right w:val="nil"/>
          <w:between w:val="nil"/>
          <w:bar w:val="nil"/>
        </w:pBdr>
      </w:pPr>
    </w:p>
    <w:p w:rsidR="007147E5" w:rsidRDefault="00A14288">
      <w:pPr>
        <w:pBdr>
          <w:top w:val="nil"/>
          <w:left w:val="nil"/>
          <w:bottom w:val="nil"/>
          <w:right w:val="nil"/>
          <w:between w:val="nil"/>
          <w:bar w:val="nil"/>
        </w:pBdr>
      </w:pPr>
      <w:r>
        <w:t>De tre havne er væsentlige ankerpunkter for det liv, der leves i købstæderne og for byernes udviklingspotentiale både som leve- og oplevelsessted for borgere, virksomheder og turister. Der er udarbejdet helhedsplaner for alle tre byer, og hvert af dem peger på udviklingspotentialer i lystbådehavnene og på at der bør arbejdes på at knytte havnen bedre an til bylivet og handelen. Behovet for dette fremhæves også i den seneste detailhandelsanalyse fra foråret 2018.</w:t>
      </w:r>
    </w:p>
    <w:p w:rsidR="007147E5" w:rsidRDefault="007147E5">
      <w:pPr>
        <w:pBdr>
          <w:top w:val="nil"/>
          <w:left w:val="nil"/>
          <w:bottom w:val="nil"/>
          <w:right w:val="nil"/>
          <w:between w:val="nil"/>
          <w:bar w:val="nil"/>
        </w:pBdr>
      </w:pPr>
    </w:p>
    <w:p w:rsidR="007147E5" w:rsidRDefault="00A14288">
      <w:pPr>
        <w:pBdr>
          <w:top w:val="nil"/>
          <w:left w:val="nil"/>
          <w:bottom w:val="nil"/>
          <w:right w:val="nil"/>
          <w:between w:val="nil"/>
          <w:bar w:val="nil"/>
        </w:pBdr>
      </w:pPr>
      <w:r>
        <w:t xml:space="preserve">For alle tre købstadshavne er udfordringen imidlertid, at der ikke er afsat væsentlige midler til at realisere de ønskede projekter. Derfor foreslår administrationen, at kommunalbestyrelsen med vedlagte udkast til en strategiplan for udviklingen af de tre købstadshavne udarbejder selvstændige masterplaner for de tre købstadshavne, og afsætter midler til at realisere masterplanerne. Masterplanerne skal tage afsæt i de igangværende planer og ønsker, og skal udarbejdes i samarbejde med havnens brugere. </w:t>
      </w:r>
    </w:p>
    <w:p w:rsidR="007147E5" w:rsidRDefault="007147E5">
      <w:pPr>
        <w:pBdr>
          <w:top w:val="nil"/>
          <w:left w:val="nil"/>
          <w:bottom w:val="nil"/>
          <w:right w:val="nil"/>
          <w:between w:val="nil"/>
          <w:bar w:val="nil"/>
        </w:pBdr>
      </w:pPr>
    </w:p>
    <w:p w:rsidR="007147E5" w:rsidRDefault="00A14288">
      <w:pPr>
        <w:pBdr>
          <w:top w:val="nil"/>
          <w:left w:val="nil"/>
          <w:bottom w:val="nil"/>
          <w:right w:val="nil"/>
          <w:between w:val="nil"/>
          <w:bar w:val="nil"/>
        </w:pBdr>
      </w:pPr>
      <w:r>
        <w:t>For at sende et samlet signal om, at kommunalbestyrelsen vil arbejde for udvikling af de tre købstadshavne foreslår administrationen, at kommunalbestyrelsen godkender vedlagte udkast til strategiplan for udvikling af købstadshavne i de tre købstæder. Strategiplanen er tænkt til at blive udarbejdet i to trin.</w:t>
      </w:r>
    </w:p>
    <w:p w:rsidR="007147E5" w:rsidRDefault="007147E5">
      <w:pPr>
        <w:pBdr>
          <w:top w:val="nil"/>
          <w:left w:val="nil"/>
          <w:bottom w:val="nil"/>
          <w:right w:val="nil"/>
          <w:between w:val="nil"/>
          <w:bar w:val="nil"/>
        </w:pBdr>
      </w:pPr>
    </w:p>
    <w:p w:rsidR="007147E5" w:rsidRDefault="00A14288">
      <w:pPr>
        <w:pStyle w:val="Listeafsnit"/>
        <w:numPr>
          <w:ilvl w:val="0"/>
          <w:numId w:val="11"/>
        </w:numPr>
        <w:pBdr>
          <w:top w:val="nil"/>
          <w:left w:val="nil"/>
          <w:bottom w:val="nil"/>
          <w:right w:val="nil"/>
          <w:between w:val="nil"/>
          <w:bar w:val="nil"/>
        </w:pBdr>
      </w:pPr>
      <w:r>
        <w:t xml:space="preserve">Første trin i nuværende form – uden udfyldt skema over konkrete handlinger. </w:t>
      </w:r>
    </w:p>
    <w:p w:rsidR="007147E5" w:rsidRDefault="00A14288">
      <w:pPr>
        <w:pStyle w:val="Listeafsnit"/>
        <w:numPr>
          <w:ilvl w:val="0"/>
          <w:numId w:val="11"/>
        </w:numPr>
        <w:pBdr>
          <w:top w:val="nil"/>
          <w:left w:val="nil"/>
          <w:bottom w:val="nil"/>
          <w:right w:val="nil"/>
          <w:between w:val="nil"/>
          <w:bar w:val="nil"/>
        </w:pBdr>
      </w:pPr>
      <w:r>
        <w:t>Andet trin som samlet strategiplan, hvor konkrete handlinger er påført efter dialog med havnens parter.</w:t>
      </w:r>
    </w:p>
    <w:p w:rsidR="007147E5" w:rsidRDefault="007147E5">
      <w:pPr>
        <w:pBdr>
          <w:top w:val="nil"/>
          <w:left w:val="nil"/>
          <w:bottom w:val="nil"/>
          <w:right w:val="nil"/>
          <w:between w:val="nil"/>
          <w:bar w:val="nil"/>
        </w:pBdr>
      </w:pPr>
    </w:p>
    <w:p w:rsidR="007147E5" w:rsidRDefault="00A14288">
      <w:pPr>
        <w:pBdr>
          <w:top w:val="nil"/>
          <w:left w:val="nil"/>
          <w:bottom w:val="nil"/>
          <w:right w:val="nil"/>
          <w:between w:val="nil"/>
          <w:bar w:val="nil"/>
        </w:pBdr>
      </w:pPr>
      <w:r>
        <w:t>Strategiplanen består i sin nuværende form i tre hovedpunkter.</w:t>
      </w:r>
    </w:p>
    <w:p w:rsidR="007147E5" w:rsidRDefault="007147E5">
      <w:pPr>
        <w:pBdr>
          <w:top w:val="nil"/>
          <w:left w:val="nil"/>
          <w:bottom w:val="nil"/>
          <w:right w:val="nil"/>
          <w:between w:val="nil"/>
          <w:bar w:val="nil"/>
        </w:pBdr>
      </w:pPr>
    </w:p>
    <w:p w:rsidR="007147E5" w:rsidRDefault="00A14288">
      <w:pPr>
        <w:pBdr>
          <w:top w:val="nil"/>
          <w:left w:val="nil"/>
          <w:bottom w:val="nil"/>
          <w:right w:val="nil"/>
          <w:between w:val="nil"/>
          <w:bar w:val="nil"/>
        </w:pBdr>
      </w:pPr>
      <w:r>
        <w:t>Der udarbejdes masterplaner for de tre købstadshavne Præstø, Stege og Vordingborg (Nordhavn)</w:t>
      </w:r>
    </w:p>
    <w:p w:rsidR="007147E5" w:rsidRDefault="00A14288">
      <w:pPr>
        <w:pBdr>
          <w:top w:val="nil"/>
          <w:left w:val="nil"/>
          <w:bottom w:val="nil"/>
          <w:right w:val="nil"/>
          <w:between w:val="nil"/>
          <w:bar w:val="nil"/>
        </w:pBdr>
      </w:pPr>
      <w:r>
        <w:t>Der afsættes 7,5 mio. kr. til realisering af projekter på lystbådehavene, beskrevet i masterplanerne, som foreslås fordelt med 2,0 mio. kr. i   2020, 3,0 mio. kr. i 2021 og 2,5 mio. kr. i 2022 jf. anlægsønske i budgetoplæg.</w:t>
      </w:r>
    </w:p>
    <w:p w:rsidR="007147E5" w:rsidRDefault="007147E5">
      <w:pPr>
        <w:pBdr>
          <w:top w:val="nil"/>
          <w:left w:val="nil"/>
          <w:bottom w:val="nil"/>
          <w:right w:val="nil"/>
          <w:between w:val="nil"/>
          <w:bar w:val="nil"/>
        </w:pBdr>
      </w:pPr>
    </w:p>
    <w:p w:rsidR="007147E5" w:rsidRDefault="00A14288">
      <w:pPr>
        <w:pBdr>
          <w:top w:val="nil"/>
          <w:left w:val="nil"/>
          <w:bottom w:val="nil"/>
          <w:right w:val="nil"/>
          <w:between w:val="nil"/>
          <w:bar w:val="nil"/>
        </w:pBdr>
      </w:pPr>
      <w:r>
        <w:t xml:space="preserve">Der arbejdes aktivt for at søge private fonde og investorer, ligesom kommunale indsatser koordineres for at opnå bedst mulige grundlag for udvikling. </w:t>
      </w:r>
    </w:p>
    <w:p w:rsidR="007147E5" w:rsidRDefault="007147E5">
      <w:pPr>
        <w:pBdr>
          <w:top w:val="nil"/>
          <w:left w:val="nil"/>
          <w:bottom w:val="nil"/>
          <w:right w:val="nil"/>
          <w:between w:val="nil"/>
          <w:bar w:val="nil"/>
        </w:pBdr>
      </w:pPr>
    </w:p>
    <w:p w:rsidR="007147E5" w:rsidRDefault="00A14288">
      <w:pPr>
        <w:pBdr>
          <w:top w:val="nil"/>
          <w:left w:val="nil"/>
          <w:bottom w:val="nil"/>
          <w:right w:val="nil"/>
          <w:between w:val="nil"/>
          <w:bar w:val="nil"/>
        </w:pBdr>
      </w:pPr>
      <w:r>
        <w:t>Alle tre masterplaner udarbejdes sammen med havnenes og byernes parter.</w:t>
      </w:r>
    </w:p>
    <w:p w:rsidR="007147E5" w:rsidRDefault="00A14288">
      <w:pPr>
        <w:pBdr>
          <w:top w:val="nil"/>
          <w:left w:val="nil"/>
          <w:bottom w:val="nil"/>
          <w:right w:val="nil"/>
          <w:between w:val="nil"/>
          <w:bar w:val="nil"/>
        </w:pBdr>
      </w:pPr>
      <w:r>
        <w:br/>
      </w:r>
      <w:r>
        <w:rPr>
          <w:b/>
        </w:rPr>
        <w:t>Økonomiske konsekvenser (1.000 kr.)</w:t>
      </w:r>
      <w:r>
        <w:t xml:space="preserve"> </w:t>
      </w:r>
    </w:p>
    <w:tbl>
      <w:tblPr>
        <w:tblStyle w:val="MsoNormalTable0"/>
        <w:tblW w:w="0" w:type="auto"/>
        <w:tblInd w:w="236" w:type="dxa"/>
        <w:tblCellMar>
          <w:left w:w="0" w:type="dxa"/>
          <w:right w:w="0" w:type="dxa"/>
        </w:tblCellMar>
        <w:tblLook w:val="05E0" w:firstRow="1" w:lastRow="1" w:firstColumn="1" w:lastColumn="1" w:noHBand="0" w:noVBand="1"/>
      </w:tblPr>
      <w:tblGrid>
        <w:gridCol w:w="2061"/>
        <w:gridCol w:w="2961"/>
        <w:gridCol w:w="1108"/>
        <w:gridCol w:w="1104"/>
        <w:gridCol w:w="1104"/>
        <w:gridCol w:w="1044"/>
      </w:tblGrid>
      <w:tr w:rsidR="007147E5">
        <w:tc>
          <w:tcPr>
            <w:tcW w:w="2133" w:type="dxa"/>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hideMark/>
          </w:tcPr>
          <w:p w:rsidR="007147E5" w:rsidRDefault="00A14288">
            <w:pPr>
              <w:pBdr>
                <w:top w:val="nil"/>
                <w:left w:val="nil"/>
                <w:bottom w:val="nil"/>
                <w:right w:val="nil"/>
                <w:between w:val="nil"/>
                <w:bar w:val="nil"/>
              </w:pBdr>
            </w:pPr>
            <w:r>
              <w:rPr>
                <w:b/>
              </w:rPr>
              <w:t>Bevillingsønske</w:t>
            </w:r>
          </w:p>
        </w:tc>
        <w:tc>
          <w:tcPr>
            <w:tcW w:w="3321" w:type="dxa"/>
            <w:tcBorders>
              <w:top w:val="single" w:sz="8" w:space="0" w:color="000000"/>
              <w:bottom w:val="single" w:sz="8" w:space="0" w:color="000000"/>
              <w:right w:val="single" w:sz="8" w:space="0" w:color="000000"/>
            </w:tcBorders>
            <w:tcMar>
              <w:top w:w="10" w:type="dxa"/>
              <w:left w:w="113" w:type="dxa"/>
              <w:bottom w:w="10" w:type="dxa"/>
              <w:right w:w="118" w:type="dxa"/>
            </w:tcMar>
            <w:hideMark/>
          </w:tcPr>
          <w:p w:rsidR="007147E5" w:rsidRDefault="00A14288">
            <w:pPr>
              <w:pBdr>
                <w:top w:val="nil"/>
                <w:left w:val="nil"/>
                <w:bottom w:val="nil"/>
                <w:right w:val="nil"/>
                <w:between w:val="nil"/>
                <w:bar w:val="nil"/>
              </w:pBdr>
            </w:pPr>
            <w:r>
              <w:rPr>
                <w:b/>
              </w:rPr>
              <w:t>Konto</w:t>
            </w:r>
          </w:p>
        </w:tc>
        <w:tc>
          <w:tcPr>
            <w:tcW w:w="1216" w:type="dxa"/>
            <w:tcBorders>
              <w:top w:val="single" w:sz="8" w:space="0" w:color="000000"/>
              <w:bottom w:val="single" w:sz="8" w:space="0" w:color="000000"/>
              <w:right w:val="single" w:sz="8" w:space="0" w:color="000000"/>
            </w:tcBorders>
            <w:tcMar>
              <w:top w:w="10" w:type="dxa"/>
              <w:left w:w="113" w:type="dxa"/>
              <w:bottom w:w="10" w:type="dxa"/>
              <w:right w:w="118" w:type="dxa"/>
            </w:tcMar>
            <w:hideMark/>
          </w:tcPr>
          <w:p w:rsidR="007147E5" w:rsidRDefault="00A14288">
            <w:pPr>
              <w:pBdr>
                <w:top w:val="nil"/>
                <w:left w:val="nil"/>
                <w:bottom w:val="nil"/>
                <w:right w:val="nil"/>
                <w:between w:val="nil"/>
                <w:bar w:val="nil"/>
              </w:pBdr>
            </w:pPr>
            <w:r>
              <w:rPr>
                <w:b/>
              </w:rPr>
              <w:t>2019</w:t>
            </w:r>
          </w:p>
        </w:tc>
        <w:tc>
          <w:tcPr>
            <w:tcW w:w="1197" w:type="dxa"/>
            <w:tcBorders>
              <w:top w:val="single" w:sz="8" w:space="0" w:color="000000"/>
              <w:bottom w:val="single" w:sz="8" w:space="0" w:color="000000"/>
              <w:right w:val="single" w:sz="8" w:space="0" w:color="000000"/>
            </w:tcBorders>
            <w:tcMar>
              <w:top w:w="10" w:type="dxa"/>
              <w:left w:w="113" w:type="dxa"/>
              <w:bottom w:w="10" w:type="dxa"/>
              <w:right w:w="118" w:type="dxa"/>
            </w:tcMar>
            <w:hideMark/>
          </w:tcPr>
          <w:p w:rsidR="007147E5" w:rsidRDefault="00A14288">
            <w:pPr>
              <w:pBdr>
                <w:top w:val="nil"/>
                <w:left w:val="nil"/>
                <w:bottom w:val="nil"/>
                <w:right w:val="nil"/>
                <w:between w:val="nil"/>
                <w:bar w:val="nil"/>
              </w:pBdr>
            </w:pPr>
            <w:r>
              <w:rPr>
                <w:b/>
              </w:rPr>
              <w:t>2020</w:t>
            </w:r>
          </w:p>
        </w:tc>
        <w:tc>
          <w:tcPr>
            <w:tcW w:w="1197" w:type="dxa"/>
            <w:tcBorders>
              <w:top w:val="single" w:sz="8" w:space="0" w:color="000000"/>
              <w:bottom w:val="single" w:sz="8" w:space="0" w:color="000000"/>
              <w:right w:val="single" w:sz="8" w:space="0" w:color="000000"/>
            </w:tcBorders>
            <w:tcMar>
              <w:top w:w="10" w:type="dxa"/>
              <w:left w:w="113" w:type="dxa"/>
              <w:bottom w:w="10" w:type="dxa"/>
              <w:right w:w="118" w:type="dxa"/>
            </w:tcMar>
            <w:hideMark/>
          </w:tcPr>
          <w:p w:rsidR="007147E5" w:rsidRDefault="00A14288">
            <w:pPr>
              <w:pBdr>
                <w:top w:val="nil"/>
                <w:left w:val="nil"/>
                <w:bottom w:val="nil"/>
                <w:right w:val="nil"/>
                <w:between w:val="nil"/>
                <w:bar w:val="nil"/>
              </w:pBdr>
            </w:pPr>
            <w:r>
              <w:rPr>
                <w:b/>
              </w:rPr>
              <w:t>2021</w:t>
            </w:r>
          </w:p>
        </w:tc>
        <w:tc>
          <w:tcPr>
            <w:tcW w:w="1122" w:type="dxa"/>
            <w:tcBorders>
              <w:top w:val="single" w:sz="8" w:space="0" w:color="000000"/>
              <w:bottom w:val="single" w:sz="8" w:space="0" w:color="000000"/>
              <w:right w:val="single" w:sz="8" w:space="0" w:color="000000"/>
            </w:tcBorders>
            <w:tcMar>
              <w:top w:w="10" w:type="dxa"/>
              <w:left w:w="113" w:type="dxa"/>
              <w:bottom w:w="10" w:type="dxa"/>
              <w:right w:w="118" w:type="dxa"/>
            </w:tcMar>
            <w:hideMark/>
          </w:tcPr>
          <w:p w:rsidR="007147E5" w:rsidRDefault="00A14288">
            <w:pPr>
              <w:pBdr>
                <w:top w:val="nil"/>
                <w:left w:val="nil"/>
                <w:bottom w:val="nil"/>
                <w:right w:val="nil"/>
                <w:between w:val="nil"/>
                <w:bar w:val="nil"/>
              </w:pBdr>
            </w:pPr>
            <w:r>
              <w:rPr>
                <w:b/>
              </w:rPr>
              <w:t>2022</w:t>
            </w:r>
          </w:p>
        </w:tc>
      </w:tr>
      <w:tr w:rsidR="007147E5">
        <w:tc>
          <w:tcPr>
            <w:tcW w:w="2133"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7147E5" w:rsidRDefault="00A14288">
            <w:pPr>
              <w:pBdr>
                <w:top w:val="nil"/>
                <w:left w:val="nil"/>
                <w:bottom w:val="nil"/>
                <w:right w:val="nil"/>
                <w:between w:val="nil"/>
                <w:bar w:val="nil"/>
              </w:pBdr>
            </w:pPr>
            <w:r>
              <w:t>Drift</w:t>
            </w:r>
          </w:p>
        </w:tc>
        <w:tc>
          <w:tcPr>
            <w:tcW w:w="3321"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216"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22"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r>
      <w:tr w:rsidR="007147E5">
        <w:tc>
          <w:tcPr>
            <w:tcW w:w="2133"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7147E5" w:rsidRDefault="00A14288">
            <w:pPr>
              <w:pBdr>
                <w:top w:val="nil"/>
                <w:left w:val="nil"/>
                <w:bottom w:val="nil"/>
                <w:right w:val="nil"/>
                <w:between w:val="nil"/>
                <w:bar w:val="nil"/>
              </w:pBdr>
            </w:pPr>
            <w:r>
              <w:t>Anlæg</w:t>
            </w:r>
          </w:p>
        </w:tc>
        <w:tc>
          <w:tcPr>
            <w:tcW w:w="3321"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Udvikling af lystbådehavne</w:t>
            </w:r>
          </w:p>
        </w:tc>
        <w:tc>
          <w:tcPr>
            <w:tcW w:w="1216"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2000</w:t>
            </w:r>
          </w:p>
        </w:tc>
        <w:tc>
          <w:tcPr>
            <w:tcW w:w="1197"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3000</w:t>
            </w:r>
          </w:p>
        </w:tc>
        <w:tc>
          <w:tcPr>
            <w:tcW w:w="1122"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2500</w:t>
            </w:r>
          </w:p>
        </w:tc>
      </w:tr>
      <w:tr w:rsidR="007147E5">
        <w:tc>
          <w:tcPr>
            <w:tcW w:w="2133"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7147E5" w:rsidRDefault="00A14288">
            <w:pPr>
              <w:pBdr>
                <w:top w:val="nil"/>
                <w:left w:val="nil"/>
                <w:bottom w:val="nil"/>
                <w:right w:val="nil"/>
                <w:between w:val="nil"/>
                <w:bar w:val="nil"/>
              </w:pBdr>
            </w:pPr>
            <w:r>
              <w:t>Afledt drift</w:t>
            </w:r>
          </w:p>
        </w:tc>
        <w:tc>
          <w:tcPr>
            <w:tcW w:w="3321"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216"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22"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r>
      <w:tr w:rsidR="007147E5">
        <w:tc>
          <w:tcPr>
            <w:tcW w:w="2133"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7147E5" w:rsidRDefault="00A14288">
            <w:pPr>
              <w:pBdr>
                <w:top w:val="nil"/>
                <w:left w:val="nil"/>
                <w:bottom w:val="nil"/>
                <w:right w:val="nil"/>
                <w:between w:val="nil"/>
                <w:bar w:val="nil"/>
              </w:pBdr>
            </w:pPr>
            <w:r>
              <w:rPr>
                <w:b/>
              </w:rPr>
              <w:t>Finansiering</w:t>
            </w:r>
          </w:p>
        </w:tc>
        <w:tc>
          <w:tcPr>
            <w:tcW w:w="3321"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216"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22"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r>
      <w:tr w:rsidR="007147E5">
        <w:tc>
          <w:tcPr>
            <w:tcW w:w="2133"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7147E5" w:rsidRDefault="00A14288">
            <w:pPr>
              <w:pBdr>
                <w:top w:val="nil"/>
                <w:left w:val="nil"/>
                <w:bottom w:val="nil"/>
                <w:right w:val="nil"/>
                <w:between w:val="nil"/>
                <w:bar w:val="nil"/>
              </w:pBdr>
            </w:pPr>
            <w:r>
              <w:lastRenderedPageBreak/>
              <w:t>Drift</w:t>
            </w:r>
          </w:p>
        </w:tc>
        <w:tc>
          <w:tcPr>
            <w:tcW w:w="3321"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216"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22"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r>
      <w:tr w:rsidR="007147E5">
        <w:tc>
          <w:tcPr>
            <w:tcW w:w="2133"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7147E5" w:rsidRDefault="00A14288">
            <w:pPr>
              <w:pBdr>
                <w:top w:val="nil"/>
                <w:left w:val="nil"/>
                <w:bottom w:val="nil"/>
                <w:right w:val="nil"/>
                <w:between w:val="nil"/>
                <w:bar w:val="nil"/>
              </w:pBdr>
            </w:pPr>
            <w:r>
              <w:t>Afsat rådighedsbeløb</w:t>
            </w:r>
          </w:p>
        </w:tc>
        <w:tc>
          <w:tcPr>
            <w:tcW w:w="3321"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216"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22"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r>
      <w:tr w:rsidR="007147E5">
        <w:tc>
          <w:tcPr>
            <w:tcW w:w="2133"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7147E5" w:rsidRDefault="00A14288">
            <w:pPr>
              <w:pBdr>
                <w:top w:val="nil"/>
                <w:left w:val="nil"/>
                <w:bottom w:val="nil"/>
                <w:right w:val="nil"/>
                <w:between w:val="nil"/>
                <w:bar w:val="nil"/>
              </w:pBdr>
            </w:pPr>
            <w:r>
              <w:t xml:space="preserve">Kassebeholdning </w:t>
            </w:r>
          </w:p>
        </w:tc>
        <w:tc>
          <w:tcPr>
            <w:tcW w:w="3321"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Udvikling af lystbådehavne</w:t>
            </w:r>
          </w:p>
        </w:tc>
        <w:tc>
          <w:tcPr>
            <w:tcW w:w="1216"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 -2000</w:t>
            </w:r>
          </w:p>
        </w:tc>
        <w:tc>
          <w:tcPr>
            <w:tcW w:w="1197"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-3000</w:t>
            </w:r>
          </w:p>
        </w:tc>
        <w:tc>
          <w:tcPr>
            <w:tcW w:w="1122" w:type="dxa"/>
            <w:tcBorders>
              <w:bottom w:val="single" w:sz="8" w:space="0" w:color="000000"/>
              <w:right w:val="single" w:sz="8" w:space="0" w:color="000000"/>
            </w:tcBorders>
            <w:tcMar>
              <w:top w:w="5" w:type="dxa"/>
              <w:left w:w="113" w:type="dxa"/>
              <w:bottom w:w="10" w:type="dxa"/>
              <w:right w:w="118" w:type="dxa"/>
            </w:tcMar>
            <w:hideMark/>
          </w:tcPr>
          <w:p w:rsidR="007147E5" w:rsidRDefault="00A14288">
            <w:pPr>
              <w:pBdr>
                <w:top w:val="nil"/>
                <w:left w:val="nil"/>
                <w:bottom w:val="nil"/>
                <w:right w:val="nil"/>
                <w:between w:val="nil"/>
                <w:bar w:val="nil"/>
              </w:pBdr>
            </w:pPr>
            <w:r>
              <w:t>-2500 </w:t>
            </w:r>
          </w:p>
        </w:tc>
      </w:tr>
    </w:tbl>
    <w:p w:rsidR="007147E5" w:rsidRDefault="00A14288">
      <w:pPr>
        <w:pBdr>
          <w:top w:val="nil"/>
          <w:left w:val="nil"/>
          <w:bottom w:val="nil"/>
          <w:right w:val="nil"/>
          <w:between w:val="nil"/>
          <w:bar w:val="nil"/>
        </w:pBdr>
      </w:pPr>
      <w:r>
        <w:t xml:space="preserve">Beløb uden fortegn er udgift/merudgift og - er indtægt/mindreudgift. Vedr. kassebeholdningen er det modsat, da et forbrug på kassebeholdningen er – og en forbedring af kassebeholdningen er uden fortegn. </w:t>
      </w:r>
    </w:p>
    <w:bookmarkEnd w:id="3"/>
    <w:p w:rsidR="007147E5" w:rsidRDefault="00A14288">
      <w:pPr>
        <w:pStyle w:val="Overskrift3"/>
      </w:pPr>
      <w:r>
        <w:t xml:space="preserve">Økonomi: </w:t>
      </w:r>
      <w:bookmarkStart w:id="4" w:name="DocPart113558"/>
    </w:p>
    <w:p w:rsidR="007147E5" w:rsidRDefault="00A14288">
      <w:pPr>
        <w:pBdr>
          <w:top w:val="nil"/>
          <w:left w:val="nil"/>
          <w:bottom w:val="nil"/>
          <w:right w:val="nil"/>
          <w:between w:val="nil"/>
          <w:bar w:val="nil"/>
        </w:pBdr>
      </w:pPr>
      <w:r>
        <w:t>Afdelingen for Økonomi og Personale kan oplyse, at der som nævnt i sagen ligger et anlægsønske til udvikling af lystbådehavne i de tre købstæder i det fremsendte forslag til investeringsplan for 2019-2022.</w:t>
      </w:r>
    </w:p>
    <w:p w:rsidR="007147E5" w:rsidRDefault="00A14288">
      <w:pPr>
        <w:pBdr>
          <w:top w:val="nil"/>
          <w:left w:val="nil"/>
          <w:bottom w:val="nil"/>
          <w:right w:val="nil"/>
          <w:between w:val="nil"/>
          <w:bar w:val="nil"/>
        </w:pBdr>
      </w:pPr>
      <w:r>
        <w:t>Det ønskede budgetbeløb til udvikling af lystbådehavnene, bør derfor indgå i de kommende budgetdrøftelser</w:t>
      </w:r>
    </w:p>
    <w:bookmarkEnd w:id="4"/>
    <w:p w:rsidR="007147E5" w:rsidRDefault="00A14288">
      <w:pPr>
        <w:pStyle w:val="Overskrift3"/>
      </w:pPr>
      <w:r>
        <w:t xml:space="preserve">Indstilling: </w:t>
      </w:r>
      <w:bookmarkStart w:id="5" w:name="DocPart113559"/>
    </w:p>
    <w:p w:rsidR="007147E5" w:rsidRDefault="00A14288">
      <w:pPr>
        <w:pBdr>
          <w:top w:val="nil"/>
          <w:left w:val="nil"/>
          <w:bottom w:val="nil"/>
          <w:right w:val="nil"/>
          <w:between w:val="nil"/>
          <w:bar w:val="nil"/>
        </w:pBdr>
      </w:pPr>
      <w:r>
        <w:t xml:space="preserve">Administrationen indstiller, </w:t>
      </w:r>
      <w:r>
        <w:br/>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4"/>
      </w:tblGrid>
      <w:tr w:rsidR="007147E5" w:rsidTr="00E34410">
        <w:tc>
          <w:tcPr>
            <w:tcW w:w="704" w:type="dxa"/>
          </w:tcPr>
          <w:p w:rsidR="007147E5" w:rsidRDefault="00A14288">
            <w:pPr>
              <w:pBdr>
                <w:top w:val="nil"/>
                <w:left w:val="nil"/>
                <w:bottom w:val="nil"/>
                <w:right w:val="nil"/>
                <w:between w:val="nil"/>
                <w:bar w:val="nil"/>
              </w:pBdr>
            </w:pPr>
            <w:r>
              <w:t>at</w:t>
            </w:r>
          </w:p>
        </w:tc>
        <w:tc>
          <w:tcPr>
            <w:tcW w:w="8924" w:type="dxa"/>
          </w:tcPr>
          <w:p w:rsidR="007147E5" w:rsidRDefault="00A14288">
            <w:pPr>
              <w:pBdr>
                <w:top w:val="nil"/>
                <w:left w:val="nil"/>
                <w:bottom w:val="nil"/>
                <w:right w:val="nil"/>
                <w:between w:val="nil"/>
                <w:bar w:val="nil"/>
              </w:pBdr>
            </w:pPr>
            <w:r>
              <w:t>udkast til Strategi for udvikling af lystbåde havne i de tre købstæder godkendes</w:t>
            </w:r>
          </w:p>
          <w:p w:rsidR="007147E5" w:rsidRDefault="007147E5">
            <w:pPr>
              <w:pBdr>
                <w:top w:val="nil"/>
                <w:left w:val="nil"/>
                <w:bottom w:val="nil"/>
                <w:right w:val="nil"/>
                <w:between w:val="nil"/>
                <w:bar w:val="nil"/>
              </w:pBdr>
            </w:pPr>
          </w:p>
        </w:tc>
      </w:tr>
      <w:tr w:rsidR="007147E5" w:rsidTr="00E34410">
        <w:tc>
          <w:tcPr>
            <w:tcW w:w="704" w:type="dxa"/>
          </w:tcPr>
          <w:p w:rsidR="007147E5" w:rsidRDefault="00A14288">
            <w:pPr>
              <w:pBdr>
                <w:top w:val="nil"/>
                <w:left w:val="nil"/>
                <w:bottom w:val="nil"/>
                <w:right w:val="nil"/>
                <w:between w:val="nil"/>
                <w:bar w:val="nil"/>
              </w:pBdr>
            </w:pPr>
            <w:r>
              <w:t>at</w:t>
            </w:r>
          </w:p>
        </w:tc>
        <w:tc>
          <w:tcPr>
            <w:tcW w:w="8924" w:type="dxa"/>
          </w:tcPr>
          <w:p w:rsidR="007147E5" w:rsidRDefault="00A14288">
            <w:pPr>
              <w:pBdr>
                <w:top w:val="nil"/>
                <w:left w:val="nil"/>
                <w:bottom w:val="nil"/>
                <w:right w:val="nil"/>
                <w:between w:val="nil"/>
                <w:bar w:val="nil"/>
              </w:pBdr>
            </w:pPr>
            <w:r>
              <w:t>midler til realisering af masterplaner indarbejdes i budget</w:t>
            </w:r>
          </w:p>
          <w:p w:rsidR="007147E5" w:rsidRDefault="007147E5">
            <w:pPr>
              <w:pBdr>
                <w:top w:val="nil"/>
                <w:left w:val="nil"/>
                <w:bottom w:val="nil"/>
                <w:right w:val="nil"/>
                <w:between w:val="nil"/>
                <w:bar w:val="nil"/>
              </w:pBdr>
            </w:pPr>
          </w:p>
        </w:tc>
      </w:tr>
      <w:tr w:rsidR="007147E5" w:rsidTr="00E34410">
        <w:tc>
          <w:tcPr>
            <w:tcW w:w="704" w:type="dxa"/>
          </w:tcPr>
          <w:p w:rsidR="007147E5" w:rsidRDefault="00A14288">
            <w:pPr>
              <w:pBdr>
                <w:top w:val="nil"/>
                <w:left w:val="nil"/>
                <w:bottom w:val="nil"/>
                <w:right w:val="nil"/>
                <w:between w:val="nil"/>
                <w:bar w:val="nil"/>
              </w:pBdr>
            </w:pPr>
            <w:r>
              <w:t>at</w:t>
            </w:r>
          </w:p>
        </w:tc>
        <w:tc>
          <w:tcPr>
            <w:tcW w:w="8924" w:type="dxa"/>
          </w:tcPr>
          <w:p w:rsidR="007147E5" w:rsidRDefault="00A14288">
            <w:pPr>
              <w:pBdr>
                <w:top w:val="nil"/>
                <w:left w:val="nil"/>
                <w:bottom w:val="nil"/>
                <w:right w:val="nil"/>
                <w:between w:val="nil"/>
                <w:bar w:val="nil"/>
              </w:pBdr>
            </w:pPr>
            <w:r>
              <w:t>Strategiens handleplan udarbejdes i samarbejde med havnens parter, hvorefter strategiplanen godkendes endeligt.</w:t>
            </w:r>
          </w:p>
        </w:tc>
      </w:tr>
    </w:tbl>
    <w:p w:rsidR="007147E5" w:rsidRDefault="007147E5">
      <w:pPr>
        <w:pBdr>
          <w:top w:val="nil"/>
          <w:left w:val="nil"/>
          <w:bottom w:val="nil"/>
          <w:right w:val="nil"/>
          <w:between w:val="nil"/>
          <w:bar w:val="nil"/>
        </w:pBdr>
      </w:pPr>
    </w:p>
    <w:bookmarkEnd w:id="5"/>
    <w:p w:rsidR="007147E5" w:rsidRDefault="00A14288">
      <w:pPr>
        <w:pStyle w:val="Overskrift3"/>
      </w:pPr>
      <w:r>
        <w:t xml:space="preserve">Beslutning i Udvalget for Plan og Teknik den 03-10-2018: </w:t>
      </w:r>
      <w:bookmarkStart w:id="6" w:name="DocPart113946"/>
    </w:p>
    <w:p w:rsidR="007147E5" w:rsidRDefault="00A14288">
      <w:pPr>
        <w:pBdr>
          <w:top w:val="nil"/>
          <w:left w:val="nil"/>
          <w:bottom w:val="nil"/>
          <w:right w:val="nil"/>
          <w:between w:val="nil"/>
          <w:bar w:val="nil"/>
        </w:pBdr>
      </w:pPr>
      <w:r>
        <w:t>Indstillingen anbefales.</w:t>
      </w:r>
    </w:p>
    <w:p w:rsidR="007147E5" w:rsidRDefault="00A14288">
      <w:pPr>
        <w:pStyle w:val="Undertitel"/>
      </w:pPr>
      <w:r>
        <w:br/>
      </w:r>
      <w:r>
        <w:rPr>
          <w:b/>
        </w:rPr>
        <w:t>Afbud:</w:t>
      </w:r>
      <w:r>
        <w:br/>
        <w:t>Bo Manderup</w:t>
      </w:r>
    </w:p>
    <w:bookmarkEnd w:id="6"/>
    <w:p w:rsidR="007147E5" w:rsidRDefault="00A14288">
      <w:pPr>
        <w:pStyle w:val="Overskrift3"/>
      </w:pPr>
      <w:r>
        <w:t xml:space="preserve">Beslutning i Udvalget for Bosætning, Økonomi og Nærdemokrati den 10-10-2018: </w:t>
      </w:r>
      <w:bookmarkStart w:id="7" w:name="DocPart114460"/>
    </w:p>
    <w:p w:rsidR="007147E5" w:rsidRDefault="00A14288">
      <w:pPr>
        <w:pBdr>
          <w:top w:val="nil"/>
          <w:left w:val="nil"/>
          <w:bottom w:val="nil"/>
          <w:right w:val="nil"/>
          <w:between w:val="nil"/>
          <w:bar w:val="nil"/>
        </w:pBdr>
      </w:pPr>
      <w:r>
        <w:t xml:space="preserve">Indstillingen tiltrådt. </w:t>
      </w:r>
    </w:p>
    <w:p w:rsidR="007147E5" w:rsidRDefault="00A14288">
      <w:pPr>
        <w:pStyle w:val="Undertitel"/>
      </w:pPr>
      <w:r>
        <w:br/>
      </w:r>
      <w:r>
        <w:rPr>
          <w:b/>
        </w:rPr>
        <w:t>Fraværende:</w:t>
      </w:r>
      <w:r>
        <w:br/>
        <w:t>Michael Larsen</w:t>
      </w:r>
    </w:p>
    <w:bookmarkEnd w:id="7"/>
    <w:p w:rsidR="007147E5" w:rsidRDefault="007147E5"/>
    <w:p w:rsidR="001C4406" w:rsidRDefault="001C4406" w:rsidP="001C4406">
      <w:pPr>
        <w:rPr>
          <w:lang w:val="en-US"/>
        </w:rPr>
      </w:pPr>
    </w:p>
    <w:p w:rsidR="001C4406" w:rsidRDefault="001C4406" w:rsidP="001C4406">
      <w:pPr>
        <w:rPr>
          <w:lang w:val="en-US"/>
        </w:rPr>
      </w:pPr>
    </w:p>
    <w:p w:rsidR="001C4406" w:rsidRDefault="00A14288" w:rsidP="001C4406">
      <w:pPr>
        <w:rPr>
          <w:lang w:val="en-US"/>
        </w:rPr>
      </w:pPr>
      <w:r w:rsidRPr="001C4406">
        <w:rPr>
          <w:rStyle w:val="Overskrift3Tegn"/>
          <w:lang w:val="en-US"/>
        </w:rPr>
        <w:t>Bilag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018"/>
        <w:gridCol w:w="5364"/>
        <w:gridCol w:w="1372"/>
        <w:gridCol w:w="523"/>
      </w:tblGrid>
      <w:tr w:rsidR="007147E5">
        <w:tc>
          <w:tcPr>
            <w:tcW w:w="0" w:type="auto"/>
            <w:tcBorders>
              <w:top w:val="nil"/>
              <w:left w:val="nil"/>
              <w:bottom w:val="nil"/>
              <w:right w:val="nil"/>
            </w:tcBorders>
          </w:tcPr>
          <w:p w:rsidR="00A77B3E" w:rsidRDefault="00A14288">
            <w:pPr>
              <w:rPr>
                <w:rFonts w:eastAsia="Calibri" w:cs="Times New Roman"/>
                <w:bdr w:val="nil"/>
                <w:lang w:val="en-US"/>
              </w:rPr>
            </w:pPr>
            <w:r>
              <w:rPr>
                <w:rFonts w:eastAsia="Calibri" w:cs="Times New Roman"/>
                <w:bdr w:val="nil"/>
                <w:lang w:val="en-US"/>
              </w:rPr>
              <w:t>1 - 3797251</w:t>
            </w:r>
          </w:p>
        </w:tc>
        <w:tc>
          <w:tcPr>
            <w:tcW w:w="0" w:type="auto"/>
            <w:tcBorders>
              <w:top w:val="nil"/>
              <w:left w:val="nil"/>
              <w:bottom w:val="nil"/>
              <w:right w:val="nil"/>
            </w:tcBorders>
          </w:tcPr>
          <w:p w:rsidR="00A77B3E" w:rsidRDefault="00A14288">
            <w:pPr>
              <w:rPr>
                <w:rFonts w:eastAsia="Calibri" w:cs="Times New Roman"/>
                <w:bdr w:val="nil"/>
                <w:lang w:val="en-US"/>
              </w:rPr>
            </w:pPr>
            <w:r>
              <w:rPr>
                <w:rFonts w:eastAsia="Calibri" w:cs="Times New Roman"/>
                <w:bdr w:val="nil"/>
                <w:lang w:val="en-US"/>
              </w:rPr>
              <w:t>Offentlig</w:t>
            </w:r>
          </w:p>
        </w:tc>
        <w:tc>
          <w:tcPr>
            <w:tcW w:w="0" w:type="auto"/>
            <w:tcBorders>
              <w:top w:val="nil"/>
              <w:left w:val="nil"/>
              <w:bottom w:val="nil"/>
              <w:right w:val="nil"/>
            </w:tcBorders>
          </w:tcPr>
          <w:p w:rsidR="00A77B3E" w:rsidRDefault="00A14288">
            <w:pPr>
              <w:rPr>
                <w:rFonts w:eastAsia="Calibri" w:cs="Times New Roman"/>
                <w:bdr w:val="nil"/>
                <w:lang w:val="en-US"/>
              </w:rPr>
            </w:pPr>
            <w:r>
              <w:rPr>
                <w:rFonts w:eastAsia="Calibri" w:cs="Times New Roman"/>
                <w:bdr w:val="nil"/>
                <w:lang w:val="en-US"/>
              </w:rPr>
              <w:t>Udkast til strategi for lystbådehavne i de tre købstæder</w:t>
            </w:r>
          </w:p>
        </w:tc>
        <w:tc>
          <w:tcPr>
            <w:tcW w:w="0" w:type="auto"/>
            <w:tcBorders>
              <w:top w:val="nil"/>
              <w:left w:val="nil"/>
              <w:bottom w:val="nil"/>
              <w:right w:val="nil"/>
            </w:tcBorders>
          </w:tcPr>
          <w:p w:rsidR="00A77B3E" w:rsidRDefault="00A14288">
            <w:pPr>
              <w:rPr>
                <w:rFonts w:eastAsia="Calibri" w:cs="Times New Roman"/>
                <w:bdr w:val="nil"/>
                <w:lang w:val="en-US"/>
              </w:rPr>
            </w:pPr>
            <w:r>
              <w:rPr>
                <w:rFonts w:eastAsia="Calibri" w:cs="Times New Roman"/>
                <w:bdr w:val="nil"/>
                <w:lang w:val="en-US"/>
              </w:rPr>
              <w:t>(168555/18)</w:t>
            </w:r>
          </w:p>
        </w:tc>
        <w:tc>
          <w:tcPr>
            <w:tcW w:w="0" w:type="auto"/>
            <w:tcBorders>
              <w:top w:val="nil"/>
              <w:left w:val="nil"/>
              <w:bottom w:val="nil"/>
              <w:right w:val="nil"/>
            </w:tcBorders>
          </w:tcPr>
          <w:p w:rsidR="00A77B3E" w:rsidRDefault="00A14288">
            <w:pPr>
              <w:rPr>
                <w:rFonts w:eastAsia="Calibri" w:cs="Times New Roman"/>
                <w:bdr w:val="nil"/>
                <w:lang w:val="en-US"/>
              </w:rPr>
            </w:pPr>
            <w:r>
              <w:rPr>
                <w:rFonts w:eastAsia="Calibri" w:cs="Times New Roman"/>
                <w:bdr w:val="nil"/>
                <w:lang w:val="en-US"/>
              </w:rPr>
              <w:t>(H)</w:t>
            </w:r>
          </w:p>
        </w:tc>
      </w:tr>
    </w:tbl>
    <w:p w:rsidR="007147E5" w:rsidRDefault="007147E5"/>
    <w:sectPr w:rsidR="007147E5">
      <w:headerReference w:type="default" r:id="rId8"/>
      <w:pgSz w:w="11906" w:h="16838"/>
      <w:pgMar w:top="1701" w:right="1134" w:bottom="1701"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88" w:rsidRDefault="00A14288">
      <w:r>
        <w:separator/>
      </w:r>
    </w:p>
  </w:endnote>
  <w:endnote w:type="continuationSeparator" w:id="0">
    <w:p w:rsidR="00A14288" w:rsidRDefault="00A1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88" w:rsidRDefault="00A14288">
      <w:r>
        <w:separator/>
      </w:r>
    </w:p>
  </w:footnote>
  <w:footnote w:type="continuationSeparator" w:id="0">
    <w:p w:rsidR="00A14288" w:rsidRDefault="00A14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BD" w:rsidRDefault="008653BD" w:rsidP="0087305E">
    <w:pPr>
      <w:pStyle w:val="Sidehove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126"/>
      <w:gridCol w:w="881"/>
    </w:tblGrid>
    <w:tr w:rsidR="007147E5" w:rsidTr="00DA69CB">
      <w:tc>
        <w:tcPr>
          <w:tcW w:w="6204" w:type="dxa"/>
          <w:tcBorders>
            <w:bottom w:val="nil"/>
          </w:tcBorders>
          <w:shd w:val="clear" w:color="auto" w:fill="auto"/>
          <w:vAlign w:val="center"/>
        </w:tcPr>
        <w:p w:rsidR="0087305E" w:rsidRPr="0092498A" w:rsidRDefault="00A14288" w:rsidP="0087305E">
          <w:pPr>
            <w:pStyle w:val="Sidehoved"/>
            <w:rPr>
              <w:rFonts w:cs="Arial"/>
              <w:szCs w:val="20"/>
            </w:rPr>
          </w:pPr>
          <w:r w:rsidRPr="0092498A">
            <w:rPr>
              <w:rFonts w:cs="Arial"/>
              <w:b/>
              <w:szCs w:val="20"/>
            </w:rPr>
            <w:t>Vordingborg Kommune</w:t>
          </w:r>
        </w:p>
      </w:tc>
      <w:tc>
        <w:tcPr>
          <w:tcW w:w="2126" w:type="dxa"/>
          <w:tcBorders>
            <w:bottom w:val="nil"/>
          </w:tcBorders>
          <w:shd w:val="clear" w:color="auto" w:fill="auto"/>
          <w:vAlign w:val="center"/>
        </w:tcPr>
        <w:p w:rsidR="0087305E" w:rsidRPr="0092498A" w:rsidRDefault="00A14288" w:rsidP="0087305E">
          <w:pPr>
            <w:pStyle w:val="Sidehoved"/>
            <w:rPr>
              <w:rFonts w:cs="Arial"/>
              <w:szCs w:val="20"/>
            </w:rPr>
          </w:pPr>
          <w:r w:rsidRPr="0092498A">
            <w:rPr>
              <w:rFonts w:cs="Arial"/>
              <w:szCs w:val="20"/>
            </w:rPr>
            <w:t>Dato</w:t>
          </w:r>
        </w:p>
      </w:tc>
      <w:tc>
        <w:tcPr>
          <w:tcW w:w="881" w:type="dxa"/>
          <w:tcBorders>
            <w:bottom w:val="nil"/>
          </w:tcBorders>
          <w:shd w:val="clear" w:color="auto" w:fill="auto"/>
          <w:vAlign w:val="center"/>
        </w:tcPr>
        <w:p w:rsidR="0087305E" w:rsidRPr="0092498A" w:rsidRDefault="00A14288" w:rsidP="0087305E">
          <w:pPr>
            <w:pStyle w:val="Sidehoved"/>
            <w:jc w:val="right"/>
            <w:rPr>
              <w:rFonts w:cs="Arial"/>
              <w:szCs w:val="20"/>
            </w:rPr>
          </w:pPr>
          <w:r w:rsidRPr="0092498A">
            <w:rPr>
              <w:rFonts w:cs="Arial"/>
              <w:szCs w:val="20"/>
            </w:rPr>
            <w:t>Side</w:t>
          </w:r>
        </w:p>
      </w:tc>
    </w:tr>
    <w:tr w:rsidR="007147E5" w:rsidTr="00DA69CB">
      <w:tc>
        <w:tcPr>
          <w:tcW w:w="6204" w:type="dxa"/>
          <w:tcBorders>
            <w:top w:val="nil"/>
            <w:left w:val="single" w:sz="4" w:space="0" w:color="auto"/>
          </w:tcBorders>
          <w:shd w:val="clear" w:color="auto" w:fill="auto"/>
          <w:vAlign w:val="center"/>
        </w:tcPr>
        <w:p w:rsidR="0087305E" w:rsidRPr="0092498A" w:rsidRDefault="00A14288" w:rsidP="0087305E">
          <w:pPr>
            <w:pStyle w:val="Overskrift6"/>
          </w:pPr>
          <w:bookmarkStart w:id="8" w:name="AC_CommitteeName"/>
          <w:bookmarkEnd w:id="8"/>
          <w:r w:rsidRPr="00626699">
            <w:t>Udvalget for Bosætning, Økonomi og Nærdemokrati</w:t>
          </w:r>
        </w:p>
      </w:tc>
      <w:tc>
        <w:tcPr>
          <w:tcW w:w="2126" w:type="dxa"/>
          <w:tcBorders>
            <w:top w:val="nil"/>
          </w:tcBorders>
          <w:shd w:val="clear" w:color="auto" w:fill="auto"/>
          <w:vAlign w:val="center"/>
        </w:tcPr>
        <w:p w:rsidR="0087305E" w:rsidRPr="0092498A" w:rsidRDefault="00A14288" w:rsidP="0087305E">
          <w:pPr>
            <w:pStyle w:val="Overskrift6"/>
          </w:pPr>
          <w:bookmarkStart w:id="9" w:name="AC_MeetingDate"/>
          <w:bookmarkEnd w:id="9"/>
          <w:r w:rsidRPr="00626699">
            <w:t>10-10-2018 14:00</w:t>
          </w:r>
        </w:p>
      </w:tc>
      <w:tc>
        <w:tcPr>
          <w:tcW w:w="881" w:type="dxa"/>
          <w:tcBorders>
            <w:top w:val="nil"/>
          </w:tcBorders>
          <w:shd w:val="clear" w:color="auto" w:fill="auto"/>
          <w:vAlign w:val="center"/>
        </w:tcPr>
        <w:p w:rsidR="0087305E" w:rsidRPr="0092498A" w:rsidRDefault="00A14288" w:rsidP="0087305E">
          <w:pPr>
            <w:pStyle w:val="Sidehoved"/>
            <w:jc w:val="center"/>
            <w:rPr>
              <w:rFonts w:cs="Arial"/>
              <w:szCs w:val="20"/>
            </w:rPr>
          </w:pPr>
          <w:r w:rsidRPr="0092498A">
            <w:rPr>
              <w:rFonts w:cs="Arial"/>
              <w:szCs w:val="20"/>
            </w:rPr>
            <w:fldChar w:fldCharType="begin"/>
          </w:r>
          <w:r w:rsidRPr="0092498A">
            <w:rPr>
              <w:rFonts w:cs="Arial"/>
              <w:szCs w:val="20"/>
            </w:rPr>
            <w:instrText>PAGE   \* MERGEFORMAT</w:instrText>
          </w:r>
          <w:r w:rsidRPr="0092498A">
            <w:rPr>
              <w:rFonts w:cs="Arial"/>
              <w:szCs w:val="20"/>
            </w:rPr>
            <w:fldChar w:fldCharType="separate"/>
          </w:r>
          <w:r w:rsidR="00903279">
            <w:rPr>
              <w:rFonts w:cs="Arial"/>
              <w:noProof/>
              <w:szCs w:val="20"/>
            </w:rPr>
            <w:t>2</w:t>
          </w:r>
          <w:r w:rsidRPr="0092498A">
            <w:rPr>
              <w:rFonts w:cs="Arial"/>
              <w:szCs w:val="20"/>
            </w:rPr>
            <w:fldChar w:fldCharType="end"/>
          </w:r>
        </w:p>
      </w:tc>
    </w:tr>
  </w:tbl>
  <w:p w:rsidR="0087305E" w:rsidRPr="00626699" w:rsidRDefault="0087305E" w:rsidP="00626699">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BE8A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3C52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8499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0FA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9A9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C21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100D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DC04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9CA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2F6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8410F4"/>
    <w:multiLevelType w:val="hybridMultilevel"/>
    <w:tmpl w:val="488C9332"/>
    <w:lvl w:ilvl="0" w:tplc="C80CF590">
      <w:start w:val="1"/>
      <w:numFmt w:val="decimal"/>
      <w:lvlText w:val="%1."/>
      <w:lvlJc w:val="left"/>
      <w:pPr>
        <w:ind w:left="720" w:hanging="360"/>
      </w:pPr>
    </w:lvl>
    <w:lvl w:ilvl="1" w:tplc="492219C8" w:tentative="1">
      <w:start w:val="1"/>
      <w:numFmt w:val="lowerLetter"/>
      <w:lvlText w:val="%2."/>
      <w:lvlJc w:val="left"/>
      <w:pPr>
        <w:ind w:left="1440" w:hanging="360"/>
      </w:pPr>
    </w:lvl>
    <w:lvl w:ilvl="2" w:tplc="6F0EED48" w:tentative="1">
      <w:start w:val="1"/>
      <w:numFmt w:val="lowerRoman"/>
      <w:lvlText w:val="%3."/>
      <w:lvlJc w:val="right"/>
      <w:pPr>
        <w:ind w:left="2160" w:hanging="180"/>
      </w:pPr>
    </w:lvl>
    <w:lvl w:ilvl="3" w:tplc="A5D66D46" w:tentative="1">
      <w:start w:val="1"/>
      <w:numFmt w:val="decimal"/>
      <w:lvlText w:val="%4."/>
      <w:lvlJc w:val="left"/>
      <w:pPr>
        <w:ind w:left="2880" w:hanging="360"/>
      </w:pPr>
    </w:lvl>
    <w:lvl w:ilvl="4" w:tplc="993034D6" w:tentative="1">
      <w:start w:val="1"/>
      <w:numFmt w:val="lowerLetter"/>
      <w:lvlText w:val="%5."/>
      <w:lvlJc w:val="left"/>
      <w:pPr>
        <w:ind w:left="3600" w:hanging="360"/>
      </w:pPr>
    </w:lvl>
    <w:lvl w:ilvl="5" w:tplc="529CAB12" w:tentative="1">
      <w:start w:val="1"/>
      <w:numFmt w:val="lowerRoman"/>
      <w:lvlText w:val="%6."/>
      <w:lvlJc w:val="right"/>
      <w:pPr>
        <w:ind w:left="4320" w:hanging="180"/>
      </w:pPr>
    </w:lvl>
    <w:lvl w:ilvl="6" w:tplc="4ECECE64" w:tentative="1">
      <w:start w:val="1"/>
      <w:numFmt w:val="decimal"/>
      <w:lvlText w:val="%7."/>
      <w:lvlJc w:val="left"/>
      <w:pPr>
        <w:ind w:left="5040" w:hanging="360"/>
      </w:pPr>
    </w:lvl>
    <w:lvl w:ilvl="7" w:tplc="748A2F66" w:tentative="1">
      <w:start w:val="1"/>
      <w:numFmt w:val="lowerLetter"/>
      <w:lvlText w:val="%8."/>
      <w:lvlJc w:val="left"/>
      <w:pPr>
        <w:ind w:left="5760" w:hanging="360"/>
      </w:pPr>
    </w:lvl>
    <w:lvl w:ilvl="8" w:tplc="A7EA287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54"/>
    <w:rsid w:val="000E2CB3"/>
    <w:rsid w:val="0014095F"/>
    <w:rsid w:val="001C4406"/>
    <w:rsid w:val="00243B78"/>
    <w:rsid w:val="002F3C09"/>
    <w:rsid w:val="00352854"/>
    <w:rsid w:val="00426A5D"/>
    <w:rsid w:val="00460F1D"/>
    <w:rsid w:val="005150BE"/>
    <w:rsid w:val="005E11DE"/>
    <w:rsid w:val="00622A6E"/>
    <w:rsid w:val="00626699"/>
    <w:rsid w:val="007147E5"/>
    <w:rsid w:val="00720D27"/>
    <w:rsid w:val="0078491B"/>
    <w:rsid w:val="00786493"/>
    <w:rsid w:val="00857BEF"/>
    <w:rsid w:val="008653BD"/>
    <w:rsid w:val="0087305E"/>
    <w:rsid w:val="00903279"/>
    <w:rsid w:val="0092498A"/>
    <w:rsid w:val="0096508D"/>
    <w:rsid w:val="009F7011"/>
    <w:rsid w:val="00A14288"/>
    <w:rsid w:val="00A45954"/>
    <w:rsid w:val="00A77B3E"/>
    <w:rsid w:val="00A9664A"/>
    <w:rsid w:val="00AE6B64"/>
    <w:rsid w:val="00B16F92"/>
    <w:rsid w:val="00B56E6A"/>
    <w:rsid w:val="00BC37C2"/>
    <w:rsid w:val="00C059A5"/>
    <w:rsid w:val="00CB282D"/>
    <w:rsid w:val="00CB747D"/>
    <w:rsid w:val="00D35100"/>
    <w:rsid w:val="00DC59B9"/>
    <w:rsid w:val="00E30F34"/>
    <w:rsid w:val="00E45F80"/>
    <w:rsid w:val="00E921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AF7D2-22A3-4F88-B54C-F380B157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9A5"/>
    <w:pPr>
      <w:spacing w:after="0" w:line="240" w:lineRule="auto"/>
    </w:pPr>
    <w:rPr>
      <w:rFonts w:ascii="Arial" w:hAnsi="Arial"/>
      <w:sz w:val="20"/>
    </w:rPr>
  </w:style>
  <w:style w:type="paragraph" w:styleId="Overskrift1">
    <w:name w:val="heading 1"/>
    <w:basedOn w:val="Normal"/>
    <w:next w:val="Normal"/>
    <w:link w:val="Overskrift1Tegn"/>
    <w:uiPriority w:val="9"/>
    <w:rsid w:val="00AE6B64"/>
    <w:pPr>
      <w:keepNext/>
      <w:keepLines/>
      <w:spacing w:before="240"/>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rsid w:val="005150BE"/>
    <w:pPr>
      <w:keepNext/>
      <w:keepLines/>
      <w:spacing w:before="240"/>
      <w:outlineLvl w:val="1"/>
    </w:pPr>
    <w:rPr>
      <w:rFonts w:eastAsiaTheme="majorEastAsia" w:cstheme="majorBidi"/>
      <w:b/>
      <w:sz w:val="22"/>
      <w:szCs w:val="26"/>
    </w:rPr>
  </w:style>
  <w:style w:type="paragraph" w:styleId="Overskrift3">
    <w:name w:val="heading 3"/>
    <w:basedOn w:val="Normal"/>
    <w:next w:val="Normal"/>
    <w:link w:val="Overskrift3Tegn"/>
    <w:uiPriority w:val="9"/>
    <w:unhideWhenUsed/>
    <w:rsid w:val="00DC59B9"/>
    <w:pPr>
      <w:keepNext/>
      <w:keepLines/>
      <w:spacing w:before="120"/>
      <w:outlineLvl w:val="2"/>
    </w:pPr>
    <w:rPr>
      <w:rFonts w:eastAsiaTheme="majorEastAsia" w:cstheme="majorBidi"/>
      <w:b/>
      <w:sz w:val="22"/>
      <w:szCs w:val="24"/>
    </w:rPr>
  </w:style>
  <w:style w:type="paragraph" w:styleId="Overskrift4">
    <w:name w:val="heading 4"/>
    <w:basedOn w:val="Normal"/>
    <w:next w:val="Normal"/>
    <w:link w:val="Overskrift4Tegn"/>
    <w:uiPriority w:val="9"/>
    <w:unhideWhenUsed/>
    <w:rsid w:val="002F3C09"/>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6">
    <w:name w:val="heading 6"/>
    <w:basedOn w:val="Normal"/>
    <w:next w:val="Normal"/>
    <w:link w:val="Overskrift6Tegn"/>
    <w:uiPriority w:val="9"/>
    <w:semiHidden/>
    <w:unhideWhenUsed/>
    <w:qFormat/>
    <w:rsid w:val="0087305E"/>
    <w:pPr>
      <w:keepNext/>
      <w:keepLines/>
      <w:spacing w:before="40"/>
      <w:outlineLvl w:val="5"/>
    </w:pPr>
    <w:rPr>
      <w:rFonts w:eastAsiaTheme="majorEastAsia" w:cstheme="majorBidi"/>
    </w:rPr>
  </w:style>
  <w:style w:type="paragraph" w:styleId="Overskrift8">
    <w:name w:val="heading 8"/>
    <w:basedOn w:val="Normal"/>
    <w:next w:val="Normal"/>
    <w:link w:val="Overskrift8Tegn"/>
    <w:uiPriority w:val="9"/>
    <w:unhideWhenUsed/>
    <w:qFormat/>
    <w:rsid w:val="00E30F34"/>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E30F34"/>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653BD"/>
    <w:pPr>
      <w:tabs>
        <w:tab w:val="center" w:pos="4819"/>
        <w:tab w:val="right" w:pos="9638"/>
      </w:tabs>
    </w:pPr>
  </w:style>
  <w:style w:type="character" w:customStyle="1" w:styleId="SidehovedTegn">
    <w:name w:val="Sidehoved Tegn"/>
    <w:basedOn w:val="Standardskrifttypeiafsnit"/>
    <w:link w:val="Sidehoved"/>
    <w:uiPriority w:val="99"/>
    <w:rsid w:val="008653BD"/>
  </w:style>
  <w:style w:type="paragraph" w:styleId="Sidefod">
    <w:name w:val="footer"/>
    <w:basedOn w:val="Normal"/>
    <w:link w:val="SidefodTegn"/>
    <w:uiPriority w:val="99"/>
    <w:unhideWhenUsed/>
    <w:rsid w:val="008653BD"/>
    <w:pPr>
      <w:tabs>
        <w:tab w:val="center" w:pos="4819"/>
        <w:tab w:val="right" w:pos="9638"/>
      </w:tabs>
    </w:pPr>
  </w:style>
  <w:style w:type="character" w:customStyle="1" w:styleId="SidefodTegn">
    <w:name w:val="Sidefod Tegn"/>
    <w:basedOn w:val="Standardskrifttypeiafsnit"/>
    <w:link w:val="Sidefod"/>
    <w:uiPriority w:val="99"/>
    <w:rsid w:val="008653BD"/>
  </w:style>
  <w:style w:type="character" w:customStyle="1" w:styleId="Overskrift1Tegn">
    <w:name w:val="Overskrift 1 Tegn"/>
    <w:basedOn w:val="Standardskrifttypeiafsnit"/>
    <w:link w:val="Overskrift1"/>
    <w:uiPriority w:val="9"/>
    <w:rsid w:val="00AE6B64"/>
    <w:rPr>
      <w:rFonts w:ascii="Arial" w:eastAsiaTheme="majorEastAsia" w:hAnsi="Arial" w:cstheme="majorBidi"/>
      <w:b/>
      <w:sz w:val="28"/>
      <w:szCs w:val="32"/>
    </w:rPr>
  </w:style>
  <w:style w:type="character" w:customStyle="1" w:styleId="Overskrift2Tegn">
    <w:name w:val="Overskrift 2 Tegn"/>
    <w:basedOn w:val="Standardskrifttypeiafsnit"/>
    <w:link w:val="Overskrift2"/>
    <w:uiPriority w:val="9"/>
    <w:rsid w:val="005150BE"/>
    <w:rPr>
      <w:rFonts w:ascii="Verdana" w:eastAsiaTheme="majorEastAsia" w:hAnsi="Verdana" w:cstheme="majorBidi"/>
      <w:b/>
      <w:szCs w:val="26"/>
    </w:rPr>
  </w:style>
  <w:style w:type="character" w:customStyle="1" w:styleId="Overskrift3Tegn">
    <w:name w:val="Overskrift 3 Tegn"/>
    <w:basedOn w:val="Standardskrifttypeiafsnit"/>
    <w:link w:val="Overskrift3"/>
    <w:uiPriority w:val="9"/>
    <w:rsid w:val="00DC59B9"/>
    <w:rPr>
      <w:rFonts w:ascii="Arial" w:eastAsiaTheme="majorEastAsia" w:hAnsi="Arial" w:cstheme="majorBidi"/>
      <w:b/>
      <w:szCs w:val="24"/>
    </w:rPr>
  </w:style>
  <w:style w:type="paragraph" w:styleId="Ingenafstand">
    <w:name w:val="No Spacing"/>
    <w:uiPriority w:val="1"/>
    <w:rsid w:val="002F3C09"/>
    <w:pPr>
      <w:spacing w:after="0" w:line="240" w:lineRule="auto"/>
    </w:pPr>
    <w:rPr>
      <w:rFonts w:ascii="Verdana" w:hAnsi="Verdana"/>
      <w:sz w:val="20"/>
    </w:rPr>
  </w:style>
  <w:style w:type="character" w:customStyle="1" w:styleId="Overskrift4Tegn">
    <w:name w:val="Overskrift 4 Tegn"/>
    <w:basedOn w:val="Standardskrifttypeiafsnit"/>
    <w:link w:val="Overskrift4"/>
    <w:uiPriority w:val="9"/>
    <w:rsid w:val="002F3C09"/>
    <w:rPr>
      <w:rFonts w:asciiTheme="majorHAnsi" w:eastAsiaTheme="majorEastAsia" w:hAnsiTheme="majorHAnsi" w:cstheme="majorBidi"/>
      <w:i/>
      <w:iCs/>
      <w:color w:val="2E74B5" w:themeColor="accent1" w:themeShade="BF"/>
      <w:sz w:val="20"/>
    </w:rPr>
  </w:style>
  <w:style w:type="paragraph" w:styleId="Titel">
    <w:name w:val="Title"/>
    <w:basedOn w:val="Normal"/>
    <w:next w:val="Normal"/>
    <w:link w:val="TitelTegn"/>
    <w:uiPriority w:val="10"/>
    <w:rsid w:val="002F3C09"/>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F3C09"/>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rsid w:val="00C059A5"/>
    <w:pPr>
      <w:numPr>
        <w:ilvl w:val="1"/>
      </w:numPr>
      <w:spacing w:before="100" w:beforeAutospacing="1" w:after="100" w:afterAutospacing="1"/>
    </w:pPr>
    <w:rPr>
      <w:rFonts w:eastAsiaTheme="minorEastAsia"/>
      <w:spacing w:val="15"/>
      <w:sz w:val="16"/>
    </w:rPr>
  </w:style>
  <w:style w:type="character" w:customStyle="1" w:styleId="UndertitelTegn">
    <w:name w:val="Undertitel Tegn"/>
    <w:basedOn w:val="Standardskrifttypeiafsnit"/>
    <w:link w:val="Undertitel"/>
    <w:uiPriority w:val="11"/>
    <w:rsid w:val="00C059A5"/>
    <w:rPr>
      <w:rFonts w:ascii="Arial" w:eastAsiaTheme="minorEastAsia" w:hAnsi="Arial"/>
      <w:spacing w:val="15"/>
      <w:sz w:val="16"/>
    </w:rPr>
  </w:style>
  <w:style w:type="character" w:styleId="Svagfremhvning">
    <w:name w:val="Subtle Emphasis"/>
    <w:basedOn w:val="Standardskrifttypeiafsnit"/>
    <w:uiPriority w:val="19"/>
    <w:rsid w:val="002F3C09"/>
    <w:rPr>
      <w:i/>
      <w:iCs/>
      <w:color w:val="404040" w:themeColor="text1" w:themeTint="BF"/>
    </w:rPr>
  </w:style>
  <w:style w:type="character" w:styleId="Fremhv">
    <w:name w:val="Emphasis"/>
    <w:basedOn w:val="Standardskrifttypeiafsnit"/>
    <w:uiPriority w:val="20"/>
    <w:rsid w:val="002F3C09"/>
    <w:rPr>
      <w:i/>
      <w:iCs/>
    </w:rPr>
  </w:style>
  <w:style w:type="character" w:styleId="Kraftigfremhvning">
    <w:name w:val="Intense Emphasis"/>
    <w:basedOn w:val="Standardskrifttypeiafsnit"/>
    <w:uiPriority w:val="21"/>
    <w:rsid w:val="002F3C09"/>
    <w:rPr>
      <w:i/>
      <w:iCs/>
      <w:color w:val="5B9BD5" w:themeColor="accent1"/>
    </w:rPr>
  </w:style>
  <w:style w:type="character" w:styleId="Strk">
    <w:name w:val="Strong"/>
    <w:basedOn w:val="Standardskrifttypeiafsnit"/>
    <w:uiPriority w:val="22"/>
    <w:rsid w:val="002F3C09"/>
    <w:rPr>
      <w:b/>
      <w:bCs/>
    </w:rPr>
  </w:style>
  <w:style w:type="paragraph" w:styleId="Citat">
    <w:name w:val="Quote"/>
    <w:basedOn w:val="Normal"/>
    <w:next w:val="Normal"/>
    <w:link w:val="CitatTegn"/>
    <w:uiPriority w:val="29"/>
    <w:rsid w:val="002F3C0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2F3C09"/>
    <w:rPr>
      <w:rFonts w:ascii="Verdana" w:hAnsi="Verdana"/>
      <w:i/>
      <w:iCs/>
      <w:color w:val="404040" w:themeColor="text1" w:themeTint="BF"/>
      <w:sz w:val="20"/>
    </w:rPr>
  </w:style>
  <w:style w:type="paragraph" w:styleId="Strktcitat">
    <w:name w:val="Intense Quote"/>
    <w:basedOn w:val="Normal"/>
    <w:next w:val="Normal"/>
    <w:link w:val="StrktcitatTegn"/>
    <w:uiPriority w:val="30"/>
    <w:rsid w:val="002F3C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2F3C09"/>
    <w:rPr>
      <w:rFonts w:ascii="Verdana" w:hAnsi="Verdana"/>
      <w:i/>
      <w:iCs/>
      <w:color w:val="5B9BD5" w:themeColor="accent1"/>
      <w:sz w:val="20"/>
    </w:rPr>
  </w:style>
  <w:style w:type="character" w:styleId="Svaghenvisning">
    <w:name w:val="Subtle Reference"/>
    <w:basedOn w:val="Standardskrifttypeiafsnit"/>
    <w:uiPriority w:val="31"/>
    <w:rsid w:val="002F3C09"/>
    <w:rPr>
      <w:smallCaps/>
      <w:color w:val="5A5A5A" w:themeColor="text1" w:themeTint="A5"/>
    </w:rPr>
  </w:style>
  <w:style w:type="character" w:styleId="Kraftighenvisning">
    <w:name w:val="Intense Reference"/>
    <w:basedOn w:val="Standardskrifttypeiafsnit"/>
    <w:uiPriority w:val="32"/>
    <w:rsid w:val="002F3C09"/>
    <w:rPr>
      <w:b/>
      <w:bCs/>
      <w:smallCaps/>
      <w:color w:val="5B9BD5" w:themeColor="accent1"/>
      <w:spacing w:val="5"/>
    </w:rPr>
  </w:style>
  <w:style w:type="paragraph" w:styleId="Listeafsnit">
    <w:name w:val="List Paragraph"/>
    <w:basedOn w:val="Normal"/>
    <w:uiPriority w:val="34"/>
    <w:rsid w:val="002F3C09"/>
    <w:pPr>
      <w:ind w:left="720"/>
      <w:contextualSpacing/>
    </w:pPr>
  </w:style>
  <w:style w:type="character" w:customStyle="1" w:styleId="Overskrift6Tegn">
    <w:name w:val="Overskrift 6 Tegn"/>
    <w:basedOn w:val="Standardskrifttypeiafsnit"/>
    <w:link w:val="Overskrift6"/>
    <w:uiPriority w:val="9"/>
    <w:semiHidden/>
    <w:rsid w:val="0087305E"/>
    <w:rPr>
      <w:rFonts w:ascii="Arial" w:eastAsiaTheme="majorEastAsia" w:hAnsi="Arial" w:cstheme="majorBidi"/>
      <w:sz w:val="20"/>
    </w:rPr>
  </w:style>
  <w:style w:type="character" w:customStyle="1" w:styleId="Overskrift9Tegn">
    <w:name w:val="Overskrift 9 Tegn"/>
    <w:basedOn w:val="Standardskrifttypeiafsnit"/>
    <w:link w:val="Overskrift9"/>
    <w:uiPriority w:val="9"/>
    <w:rsid w:val="00E30F34"/>
    <w:rPr>
      <w:rFonts w:asciiTheme="majorHAnsi" w:eastAsiaTheme="majorEastAsia" w:hAnsiTheme="majorHAnsi" w:cstheme="majorBidi"/>
      <w:i/>
      <w:iCs/>
      <w:color w:val="272727" w:themeColor="text1" w:themeTint="D8"/>
      <w:sz w:val="21"/>
      <w:szCs w:val="21"/>
    </w:rPr>
  </w:style>
  <w:style w:type="character" w:customStyle="1" w:styleId="Overskrift8Tegn">
    <w:name w:val="Overskrift 8 Tegn"/>
    <w:basedOn w:val="Standardskrifttypeiafsnit"/>
    <w:link w:val="Overskrift8"/>
    <w:uiPriority w:val="9"/>
    <w:rsid w:val="00E30F34"/>
    <w:rPr>
      <w:rFonts w:asciiTheme="majorHAnsi" w:eastAsiaTheme="majorEastAsia" w:hAnsiTheme="majorHAnsi" w:cstheme="majorBidi"/>
      <w:color w:val="272727" w:themeColor="text1" w:themeTint="D8"/>
      <w:sz w:val="21"/>
      <w:szCs w:val="21"/>
    </w:rPr>
  </w:style>
  <w:style w:type="paragraph" w:styleId="Citatoverskrift">
    <w:name w:val="toa heading"/>
    <w:aliases w:val="Centrert"/>
    <w:basedOn w:val="Normal"/>
    <w:next w:val="Normal"/>
    <w:uiPriority w:val="99"/>
    <w:unhideWhenUsed/>
    <w:qFormat/>
    <w:rsid w:val="00720D27"/>
    <w:pPr>
      <w:jc w:val="center"/>
    </w:pPr>
    <w:rPr>
      <w:lang w:val="en-US"/>
    </w:rPr>
  </w:style>
  <w:style w:type="paragraph" w:styleId="Citatsamling">
    <w:name w:val="table of authorities"/>
    <w:aliases w:val="Højrejusteret"/>
    <w:basedOn w:val="Normal"/>
    <w:next w:val="Normal"/>
    <w:uiPriority w:val="99"/>
    <w:unhideWhenUsed/>
    <w:qFormat/>
    <w:rsid w:val="00720D27"/>
    <w:pPr>
      <w:jc w:val="right"/>
    </w:pPr>
    <w:rPr>
      <w:lang w:val="en-US"/>
    </w:rPr>
  </w:style>
  <w:style w:type="table" w:customStyle="1" w:styleId="MsoNormalTable0">
    <w:name w:val="MsoNormalTable"/>
    <w:basedOn w:val="Tabel-Normal"/>
    <w:pPr>
      <w:spacing w:after="0" w:line="240" w:lineRule="auto"/>
    </w:pPr>
    <w:rPr>
      <w:rFonts w:ascii="Times New Roman" w:eastAsia="Times New Roman" w:hAnsi="Times New Roman"/>
      <w:sz w:val="20"/>
      <w:szCs w:val="20"/>
    </w:rPr>
    <w:tblPr/>
  </w:style>
  <w:style w:type="table" w:styleId="Tabel-Gitter">
    <w:name w:val="Table Grid"/>
    <w:basedOn w:val="Tabel-Normal"/>
    <w:uiPriority w:val="39"/>
    <w:rsid w:val="00E63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586B3D4F.dotm</Template>
  <TotalTime>2</TotalTime>
  <Pages>2</Pages>
  <Words>618</Words>
  <Characters>3772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qaadmin</dc:creator>
  <cp:lastModifiedBy>Mette Christiansen</cp:lastModifiedBy>
  <cp:revision>2</cp:revision>
  <dcterms:created xsi:type="dcterms:W3CDTF">2020-02-04T12:08:00Z</dcterms:created>
  <dcterms:modified xsi:type="dcterms:W3CDTF">2020-02-04T12:08:00Z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{A56B5018-6FCB-4DCF-87C5-0CB866CA07AE}</vt:lpwstr>
  </property>
</Properties>
</file>